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Процедура оформления заявки для получения пропуска физическому лицу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6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(двигается пешком либо на транспортном средстве)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Процедура оформления заявки для получения пропуска физическому лицу в зону транспортной безопасности, в пределы пункта пропуска через государственную границу РФ, зону таможенного контроля на территории АО «УЛКТ»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борт судна заграничного следования.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pStyle w:val="68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Для посещения территории АО «УЛКТ» с целями отличными от процесса грузоперевозок необходимо оформить электронную версию заявки на получение пропусков на </w:t>
      </w:r>
      <w:hyperlink r:id="rId9" w:tooltip="http://www.rlisystems.ru/" w:history="1">
        <w:r>
          <w:rPr>
            <w:rFonts w:ascii="Times New Roman" w:hAnsi="Times New Roman" w:eastAsia="Times New Roman" w:cs="Times New Roman"/>
            <w:color w:val="33455b"/>
            <w:sz w:val="24"/>
            <w:szCs w:val="24"/>
            <w:u w:val="single"/>
            <w:lang w:eastAsia="ru-RU"/>
          </w:rPr>
          <w:t xml:space="preserve">сайте </w:t>
        </w:r>
        <w:r>
          <w:rPr>
            <w:rFonts w:ascii="Times New Roman" w:hAnsi="Times New Roman" w:eastAsia="Times New Roman" w:cs="Times New Roman"/>
            <w:color w:val="2c2d2e"/>
            <w:sz w:val="24"/>
            <w:szCs w:val="24"/>
            <w:highlight w:val="white"/>
          </w:rPr>
          <w:t xml:space="preserve">ДелоТех(</w:t>
        </w:r>
        <w:r>
          <w:rPr>
            <w:rStyle w:val="846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single"/>
          </w:rPr>
          <w:t xml:space="preserve">www.rlisystems.ru</w:t>
        </w:r>
        <w:r>
          <w:rPr>
            <w:rFonts w:ascii="Times New Roman" w:hAnsi="Times New Roman" w:eastAsia="Times New Roman" w:cs="Times New Roman"/>
            <w:color w:val="2c2d2e"/>
            <w:sz w:val="24"/>
            <w:szCs w:val="24"/>
            <w:highlight w:val="white"/>
          </w:rPr>
          <w:t xml:space="preserve">)</w:t>
        </w:r>
        <w:r>
          <w:rPr>
            <w:rFonts w:ascii="Times New Roman" w:hAnsi="Times New Roman" w:eastAsia="Times New Roman" w:cs="Times New Roman"/>
            <w:color w:val="33455b"/>
            <w:sz w:val="24"/>
            <w:szCs w:val="24"/>
            <w:u w:val="single"/>
            <w:lang w:eastAsia="ru-RU"/>
          </w:rPr>
        </w:r>
      </w:hyperlink>
      <w:r>
        <w:rPr>
          <w:rFonts w:ascii="Times New Roman" w:hAnsi="Times New Roman" w:eastAsia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pStyle w:val="683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Электронную заявку, оформленную на сайте, необходимо распечатать, заверить печатью и подписями руководителя организации, главного бухгалтера организации, сделать электронную копию (отсканировать) и направить 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 Отдел пропусков АО «УЛКТ» на адрес электронной почты с указанием в теме письма номера заявк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white"/>
          <w:lang w:eastAsia="ru-RU"/>
        </w:rPr>
        <w:t xml:space="preserve">и: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70c0"/>
          <w:sz w:val="24"/>
          <w:szCs w:val="24"/>
          <w:highlight w:val="white"/>
          <w:lang w:eastAsia="ru-RU"/>
        </w:rPr>
        <w:t xml:space="preserve">propusk.ulct@globalports.com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для последующего согласования в Службе режима, транспортной без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опасности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и надзора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АО «УЛКТ».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pStyle w:val="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u w:val="single"/>
        </w:rPr>
        <w:t xml:space="preserve">Внимание!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Порядок оформления заявки для прохода на борт судна заграничного следования.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Заявки для получения пропуска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 ПРАВОМ ПРОХОДА НА БОРТ СУДНА ЗАГРАНИЧНОГО СЛЕДОВАНИЯ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оформляются на сайте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ДелоТех(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www.rlisystems.ru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3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 При оформлении заявки на терминал АО «УЛКТ», необходимо выбрать район посещения АО «УЛКТ» </w:t>
      </w: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с целью прохода на борт судна заграничного следования.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</w:rPr>
      </w:r>
    </w:p>
    <w:p>
      <w:pPr>
        <w:pStyle w:val="6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83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  <w:highlight w:val="none"/>
        </w:rPr>
        <w:t xml:space="preserve">                                      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  <w:highlight w:val="white"/>
        </w:rPr>
        <w:t xml:space="preserve">Оформление постоянного пропуска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83"/>
        <w:jc w:val="both"/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6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В заявке указывать дату с какого времени необходим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постоянный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 пропуск с упреждением 14-30 дней с даты оформления заявки (это время на согласование в органах ФСБ РФ, МВД РФ и службе пограничного контроля ФСБ РФ).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Срок согласования документов в органах МВД и ФСБ РФ от 14 (четырнадцати) до 30 (тридцати) дней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683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Письменное обращение (заявка) на выдачу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</w:rPr>
        <w:t xml:space="preserve">постоянных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пропусков рассматривается администрацией ОТИ (Службой режима, транспортной безопасности и надзора терминала) не более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10 (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десяти) рабочих дней со дня их поступления*,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включая время на согласование с подразделением пограничного контроля.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683"/>
        <w:jc w:val="both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В службе пограничного контроля обращение (заявка) на постоянный пропуск рассматривается до 5 (пяти) рабочих дней с даты поступления**, после согласования в органах МВД, ФСБ и Службе режима, транспортной безопасности и надзора АО «УЛКТ».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</w:p>
    <w:p>
      <w:pPr>
        <w:pStyle w:val="6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83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                                         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  <w:highlight w:val="white"/>
        </w:rPr>
        <w:t xml:space="preserve">Оформление разового пропуска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pStyle w:val="683"/>
        <w:jc w:val="both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Письменные обращения (заявки) на выдачу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</w:rPr>
        <w:t xml:space="preserve">разовых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пропусков рассматриваются администрацией ОТИ (Службой режима, транспортной безопасности и надзора терминала) не более 24 часов с момента их поступления***, включая время на согласование с подразделением погранич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ного контроля. Подразделение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пограничного контроля осуществляет согласование в рабочее время в срок не превышающий 3 часов с момента поступления****.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</w:p>
    <w:p>
      <w:pPr>
        <w:pStyle w:val="683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органах МВД и ФСБ РФ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обращение (заявка) на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4"/>
          <w:szCs w:val="24"/>
        </w:rPr>
        <w:t xml:space="preserve">разовый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пропуск согласовывается уведомительным порядком.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6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После согласования заявки в Службе режима, транспортной безопаснос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надзора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АО «УЛКТ», органах ФСБ, МВД, начальником КПП «Усть-Луга» ПС ФСБ, пропуск можно получить в отделе пропусков АО «УЛКТ в любой день с 09.30 до 20.30. Обед с 13.00 до 13.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45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и с 17.00 до 17.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45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83"/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             *Приказ МИНТРАНСА РОССИИ № 107 от 31.03.2022, п.38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</w:p>
    <w:p>
      <w:pPr>
        <w:pStyle w:val="683"/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         **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  Приказ МИНТРАНСА РОССИИ № 107 от 31.03.2022, п.38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</w:r>
    </w:p>
    <w:p>
      <w:pPr>
        <w:pStyle w:val="683"/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  <w:t xml:space="preserve">       ***  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Приказ МИНТРАНСА РОССИИ № 107 от 31.03.2022, п.39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none"/>
          <w:lang w:eastAsia="ru-RU"/>
        </w:rPr>
      </w:r>
    </w:p>
    <w:p>
      <w:pPr>
        <w:pStyle w:val="683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0"/>
          <w:szCs w:val="20"/>
          <w:lang w:eastAsia="ru-RU"/>
        </w:rPr>
        <w:t xml:space="preserve">     ****  Приказ МИНТРАНСА РОССИИ № 107 от 31.03.2022, п.39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</w:p>
    <w:p>
      <w:pPr>
        <w:pStyle w:val="683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Внимание!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Заявку можно оформить только при наличии электронной копии (сканированной) заявки, заверенной печатью и подписями руководителя организации, главного бухгалтера, копии паспорта (сканированного), которые крепятся к электронной версии заявки.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</w:p>
    <w:p>
      <w:pPr>
        <w:pStyle w:val="6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240" w:after="240" w:line="240" w:lineRule="auto"/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u w:val="single"/>
          <w:lang w:eastAsia="ru-RU"/>
        </w:rPr>
        <w:t xml:space="preserve">Электронные копии документов, прикрепляемые к электронной версии заявки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: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/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2324"/>
        <w:gridCol w:w="1857"/>
        <w:gridCol w:w="2237"/>
        <w:gridCol w:w="2921"/>
      </w:tblGrid>
      <w:tr>
        <w:tblPrEx/>
        <w:trPr/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340" w:type="dxa"/>
            <w:vMerge w:val="restart"/>
            <w:textDirection w:val="lrTb"/>
            <w:noWrap w:val="false"/>
          </w:tcPr>
          <w:p>
            <w:pPr>
              <w:jc w:val="center"/>
              <w:spacing w:before="240" w:after="240" w:line="240" w:lineRule="auto"/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Вид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jc w:val="center"/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пропуска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30" w:type="dxa"/>
            <w:vMerge w:val="restart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Тип пропуска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gridSpan w:val="2"/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6270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Прикрепляемые типы сканов документов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550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Граждане РФ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20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Иностранные граждане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340" w:type="dxa"/>
            <w:vMerge w:val="restart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Разовый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3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Разовый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пешеходный пропуск (Пропуск на право доступа)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55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1. Паспорт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2. Согласие на обработку персональных данных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20" w:type="dxa"/>
            <w:textDirection w:val="lrTb"/>
            <w:noWrap w:val="false"/>
          </w:tcPr>
          <w:p>
            <w:pPr>
              <w:pStyle w:val="682"/>
              <w:numPr>
                <w:ilvl w:val="0"/>
                <w:numId w:val="5"/>
              </w:numPr>
              <w:ind w:left="0" w:firstLine="0"/>
              <w:jc w:val="both"/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  <w:t xml:space="preserve">Пропуск в пограничную зону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jc w:val="both"/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2. Паспорт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3. Виза (рабочая, коммерческая, деловая - если въезжают по визовому режиму)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4. Данные о регистрации (при наличии)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5. Согласие на обработку персональных данных</w:t>
            </w:r>
            <w:r>
              <w:rPr>
                <w:rFonts w:ascii="Arial" w:hAnsi="Arial" w:eastAsia="Times New Roman" w:cs="Arial"/>
                <w:color w:val="222222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3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Разовый автомобильный пропуск (Пропуск на 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право въезда)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gridSpan w:val="2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627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Свидетельство о регистрации транспортного средства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r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  <w:t xml:space="preserve">Если ТС не принадлежит заявителю, договор аренды этого транспортного средства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340" w:type="dxa"/>
            <w:vMerge w:val="restart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Постоянный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3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Пропуск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сотрудника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55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1. Паспорт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20" w:type="dxa"/>
            <w:textDirection w:val="lrTb"/>
            <w:noWrap w:val="false"/>
          </w:tcPr>
          <w:p>
            <w:pPr>
              <w:ind w:left="0" w:firstLine="0"/>
              <w:jc w:val="both"/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1. 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  <w:t xml:space="preserve">Пропуск в пограничную зону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2. Паспорт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3. Виза (если въезжаю по визовому режиму)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4. Данные о регистрации (при наличии)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3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Пропуск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клиента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55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1. Паспорт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2. Согласие на обработку персональных данных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20" w:type="dxa"/>
            <w:textDirection w:val="lrTb"/>
            <w:noWrap w:val="false"/>
          </w:tcPr>
          <w:p>
            <w:pPr>
              <w:ind w:left="0" w:firstLine="0"/>
              <w:jc w:val="both"/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1. 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  <w:t xml:space="preserve">Пропуск в пограничную зону</w:t>
            </w:r>
            <w:r/>
          </w:p>
          <w:p>
            <w:pPr>
              <w:jc w:val="both"/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2. Паспорт</w:t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3. Виза (рабочая, коммерческая, деловая - если въезжают по визовому режиму)</w:t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4. Данные о регистрации (при наличии)</w:t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5. Согласие на обработку персональных данных</w:t>
            </w:r>
            <w:r>
              <w:rPr>
                <w:rFonts w:ascii="Arial" w:hAnsi="Arial" w:eastAsia="Times New Roman" w:cs="Arial"/>
                <w:color w:val="222222"/>
                <w:highlight w:val="none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3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Пропуск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сотрудника ГКО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gridSpan w:val="2"/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627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НЕТ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3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Автопропуск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gridSpan w:val="2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627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Свидетельство о регистрации транспортного средства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r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  <w:t xml:space="preserve">Если ТС не принадлежит заявителю, договор аренды этого транспортного средства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340" w:type="dxa"/>
            <w:vMerge w:val="restart"/>
            <w:textDirection w:val="lrTb"/>
            <w:noWrap w:val="false"/>
          </w:tcPr>
          <w:p>
            <w:pPr>
              <w:jc w:val="center"/>
              <w:spacing w:before="240" w:after="240" w:line="240" w:lineRule="auto"/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Разовый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jc w:val="center"/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аккредитационный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3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Пропуск на однократный визит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255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1. Паспорт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2. Согласие на обработку персональных данных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3. Свидетельство о регистрации транспортного средства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372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1. 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  <w:t xml:space="preserve">Пропуск в пограничную зону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2. Паспорт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3. Виза (рабочая, коммерческая, деловая - если въезжают по визовому режиму)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4. Данные о регистрации (при наличии)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5. Согласие на обработку персональных данных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6. Свидетельство о регистрации транспортного средства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83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Разовый автомобильный пропуск (Пропуск на право въезда)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</w:tc>
        <w:tc>
          <w:tcPr>
            <w:gridSpan w:val="2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627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lang w:eastAsia="ru-RU"/>
              </w:rPr>
              <w:t xml:space="preserve">Свидетельство о регистрации транспортного средства</w:t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r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  <w:t xml:space="preserve">Если ТС не принадлежит заявителю, договор аренды этого транспортного средства</w:t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color w:val="222222"/>
                <w:lang w:eastAsia="ru-RU"/>
              </w:rPr>
            </w:pPr>
            <w:r>
              <w:rPr>
                <w:rFonts w:ascii="Arial" w:hAnsi="Arial" w:eastAsia="Times New Roman" w:cs="Arial"/>
                <w:color w:val="222222"/>
                <w:sz w:val="21"/>
                <w:szCs w:val="21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  <w:r>
              <w:rPr>
                <w:rFonts w:ascii="Arial" w:hAnsi="Arial" w:eastAsia="Times New Roman" w:cs="Arial"/>
                <w:color w:val="222222"/>
                <w:lang w:eastAsia="ru-RU"/>
              </w:rPr>
            </w:r>
          </w:p>
          <w:p>
            <w:pPr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</w:tc>
      </w:tr>
    </w:tbl>
    <w:p>
      <w:pPr>
        <w:spacing w:after="0" w:line="240" w:lineRule="auto"/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  <w:r/>
    </w:p>
    <w:p>
      <w:pPr>
        <w:spacing w:before="240" w:after="240" w:line="240" w:lineRule="auto"/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К заявке прикрепляются следующие сканированные страницы документов: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/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4226"/>
        <w:gridCol w:w="5113"/>
      </w:tblGrid>
      <w:tr>
        <w:tblPrEx/>
        <w:trPr/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500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 xml:space="preserve">Для граждан РФ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490" w:type="dxa"/>
            <w:textDirection w:val="lrTb"/>
            <w:noWrap w:val="false"/>
          </w:tcPr>
          <w:p>
            <w:pPr>
              <w:jc w:val="center"/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 xml:space="preserve">Для иностранных граждан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999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 xml:space="preserve">ПАСПОРТ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(обязательный документ для всех,</w:t>
            </w:r>
            <w:r>
              <w:rPr>
                <w:rFonts w:ascii="Arial" w:hAnsi="Arial" w:eastAsia="Times New Roman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val="ru-RU"/>
              </w:rPr>
              <w:t xml:space="preserve">включая сотрудников ГКО)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50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Паспорт РФ: стр. 2, 3. + стр. с регистрацией. При замене паспорта стр. 19.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49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Страницы с данными паспорта: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ф.и.о.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, дата и место рождения; №, серии, кем и когда выдан, срок действия; данные о действующей регистрации; данные о ранее выданных паспортах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999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 xml:space="preserve">СОГЛАСИЕ НА ОБРАБОТКУ ПЕРСОНАЛЬНЫХ ДАННЫХ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(обязательный документ для всех, кроме лиц ГКО, осуществляющих свою деятельность в пункте пропуска с учётом требований по защите информации о ведомственной принадлежности)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999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 страница. Образец размещен на сайте «УЛКТ»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999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 xml:space="preserve">ВИЗА (если въезжают по визовому режиму)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(не обязательный документ)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49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 страницы документа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999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 xml:space="preserve">ДАННЫЕ О РЕГИСТРАЦИИ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(не обязательный документ)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45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  <w:tc>
          <w:tcPr>
            <w:shd w:val="clear" w:color="ffffff" w:fill="f4f9fc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49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 страницы документа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9990" w:type="dxa"/>
            <w:textDirection w:val="lrTb"/>
            <w:noWrap w:val="false"/>
          </w:tcPr>
          <w:p>
            <w:pPr>
              <w:spacing w:before="240" w:after="240" w:line="240" w:lineRule="auto"/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 xml:space="preserve">ТРУДОВОЙ ДОГОВОР ИЛИ ПАТЕНТ НА РАБОТУ ДЛЯ ИНОСТРАННЫХ ГРАЖДАН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/>
          </w:p>
          <w:p>
            <w:pPr>
              <w:spacing w:before="240" w:after="24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(обязательный документ для получающих «Пропуск клиента»)</w:t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</w:tr>
    </w:tbl>
    <w:p>
      <w:pPr>
        <w:spacing w:after="0" w:line="240" w:lineRule="auto"/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/>
    </w:p>
    <w:p>
      <w:pPr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cs="Arial"/>
          <w:lang w:val="en-US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pStyle w:val="68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1"/>
    <w:next w:val="841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2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1"/>
    <w:next w:val="841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2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2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2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2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2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2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2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2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1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2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2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2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2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rmal (Web)"/>
    <w:basedOn w:val="8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Hyperlink"/>
    <w:basedOn w:val="84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rlisystem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revision>18</cp:revision>
  <dcterms:created xsi:type="dcterms:W3CDTF">2020-10-13T14:15:00Z</dcterms:created>
  <dcterms:modified xsi:type="dcterms:W3CDTF">2025-01-27T09:19:47Z</dcterms:modified>
</cp:coreProperties>
</file>